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B473" w14:textId="6C8FB21E" w:rsidR="00AD2796" w:rsidRDefault="00AD2796" w:rsidP="00EF7DDF">
      <w:pPr>
        <w:jc w:val="center"/>
        <w:rPr>
          <w:b/>
          <w:bCs/>
        </w:rPr>
      </w:pPr>
      <w:r>
        <w:rPr>
          <w:b/>
          <w:bCs/>
        </w:rPr>
        <w:t>Translating Test Achievement</w:t>
      </w:r>
      <w:r w:rsidR="00011CE5">
        <w:rPr>
          <w:b/>
          <w:bCs/>
        </w:rPr>
        <w:t xml:space="preserve"> Losses into Instructional Weeks and Earnings</w:t>
      </w:r>
    </w:p>
    <w:p w14:paraId="1F8B454C" w14:textId="5FB12042" w:rsidR="00A36230" w:rsidRPr="00EF7DDF" w:rsidRDefault="0053693C">
      <w:r>
        <w:t>In order to make comparisons across contexts and over time, researchers</w:t>
      </w:r>
      <w:r w:rsidR="00A36230">
        <w:t xml:space="preserve"> generally</w:t>
      </w:r>
      <w:r w:rsidR="00C46A94">
        <w:t xml:space="preserve"> convert test scores to </w:t>
      </w:r>
      <w:r w:rsidR="00A36230">
        <w:t>standard deviation</w:t>
      </w:r>
      <w:r w:rsidR="00C46A94">
        <w:t xml:space="preserve"> units (a measure of dispersion) to make the estimates more easily comparable</w:t>
      </w:r>
      <w:proofErr w:type="gramStart"/>
      <w:r w:rsidR="00C46A94">
        <w:t xml:space="preserve">. </w:t>
      </w:r>
      <w:r w:rsidR="00A36230">
        <w:t>.</w:t>
      </w:r>
      <w:proofErr w:type="gramEnd"/>
      <w:r w:rsidR="00A36230">
        <w:t xml:space="preserve"> But this is not a measure that will be well-understood by many educational practitioners. So, to understand the implications of differences in test performance and typical gains in pre-pandemic years as compared to performance and gains across years of the COVID-19 pandemic, we</w:t>
      </w:r>
      <w:r>
        <w:t xml:space="preserve"> </w:t>
      </w:r>
      <w:r w:rsidR="00A36230">
        <w:t xml:space="preserve">translate these tests measures </w:t>
      </w:r>
      <w:r>
        <w:t xml:space="preserve">both </w:t>
      </w:r>
      <w:r w:rsidR="00A36230">
        <w:t xml:space="preserve">into typical weeks of student learning and describe the implications of the changes in </w:t>
      </w:r>
      <w:r w:rsidR="00C46A94">
        <w:t>achievement</w:t>
      </w:r>
      <w:r w:rsidR="00011CE5">
        <w:t xml:space="preserve"> </w:t>
      </w:r>
      <w:r w:rsidR="00A36230">
        <w:t>in terms of how they are predicted to affect lifetime earnings.</w:t>
      </w:r>
    </w:p>
    <w:p w14:paraId="15472558" w14:textId="77777777" w:rsidR="00DF0A77" w:rsidRDefault="00051B40">
      <w:pPr>
        <w:rPr>
          <w:b/>
          <w:bCs/>
          <w:i/>
          <w:iCs/>
        </w:rPr>
      </w:pPr>
      <w:r w:rsidRPr="00EF7DDF">
        <w:rPr>
          <w:b/>
          <w:bCs/>
          <w:i/>
          <w:iCs/>
        </w:rPr>
        <w:t>Calculation of average weeks behind in math and reading</w:t>
      </w:r>
    </w:p>
    <w:p w14:paraId="10BB6D79" w14:textId="68D382A0" w:rsidR="00A36230" w:rsidRDefault="00A36230">
      <w:r>
        <w:t xml:space="preserve">We begin by observing the approximate difference in average student achievement between fall 2019 and fall 2021 test scores on the NWEA Map </w:t>
      </w:r>
      <w:r w:rsidR="0053693C">
        <w:t xml:space="preserve">Growth </w:t>
      </w:r>
      <w:r>
        <w:t>tests (known as “RIT score”). Table 1</w:t>
      </w:r>
      <w:r w:rsidR="00595D41">
        <w:t>, for math,</w:t>
      </w:r>
      <w:r>
        <w:t xml:space="preserve"> </w:t>
      </w:r>
      <w:r w:rsidR="00595D41">
        <w:t xml:space="preserve">and </w:t>
      </w:r>
      <w:r w:rsidR="00C46A94">
        <w:t xml:space="preserve">Table </w:t>
      </w:r>
      <w:r w:rsidR="00595D41">
        <w:t>2, for reading, show how a</w:t>
      </w:r>
      <w:r>
        <w:t xml:space="preserve"> 1 standard deviation (SD) difference in RIT scores varies by grade</w:t>
      </w:r>
      <w:r w:rsidR="00595D41">
        <w:t>, from a low of 14.4 in grade 4 to 18.9 in grade 8</w:t>
      </w:r>
      <w:r>
        <w:t>.</w:t>
      </w:r>
      <w:r>
        <w:rPr>
          <w:rStyle w:val="FootnoteReference"/>
        </w:rPr>
        <w:footnoteReference w:id="1"/>
      </w:r>
      <w:r w:rsidR="0053693C">
        <w:t xml:space="preserve"> </w:t>
      </w:r>
    </w:p>
    <w:p w14:paraId="261FA354" w14:textId="7CDB571F" w:rsidR="008D62AD" w:rsidRDefault="00595D41">
      <w:r>
        <w:t xml:space="preserve">We </w:t>
      </w:r>
      <w:r w:rsidR="00C46A94">
        <w:t>used a</w:t>
      </w:r>
      <w:r>
        <w:t xml:space="preserve">.25 </w:t>
      </w:r>
      <w:proofErr w:type="gramStart"/>
      <w:r>
        <w:t xml:space="preserve">SD </w:t>
      </w:r>
      <w:r w:rsidR="006B6693">
        <w:t xml:space="preserve"> </w:t>
      </w:r>
      <w:r w:rsidR="00E01308">
        <w:t>and</w:t>
      </w:r>
      <w:proofErr w:type="gramEnd"/>
      <w:r w:rsidR="00E01308">
        <w:t xml:space="preserve"> .13 </w:t>
      </w:r>
      <w:r w:rsidR="006B6693">
        <w:t>standard deviation</w:t>
      </w:r>
      <w:r w:rsidR="00E01308">
        <w:t xml:space="preserve"> gap i</w:t>
      </w:r>
      <w:r w:rsidR="00E165E0">
        <w:t xml:space="preserve">n student scores in </w:t>
      </w:r>
      <w:r w:rsidR="00E01308">
        <w:t>math and reading</w:t>
      </w:r>
      <w:r>
        <w:t xml:space="preserve"> based on</w:t>
      </w:r>
      <w:r w:rsidR="00494C65">
        <w:t xml:space="preserve"> standardized </w:t>
      </w:r>
      <w:r w:rsidR="00BC78B3">
        <w:t xml:space="preserve">mean </w:t>
      </w:r>
      <w:r w:rsidR="00494C65">
        <w:t>difference</w:t>
      </w:r>
      <w:r w:rsidR="00BC78B3">
        <w:t>s</w:t>
      </w:r>
      <w:r w:rsidR="00494C65">
        <w:t xml:space="preserve"> in </w:t>
      </w:r>
      <w:r w:rsidR="00BC78B3">
        <w:t xml:space="preserve">RIT scores </w:t>
      </w:r>
      <w:r w:rsidR="00494C65">
        <w:t>across grades 4 to 8.</w:t>
      </w:r>
      <w:r w:rsidR="00494C65">
        <w:rPr>
          <w:rStyle w:val="FootnoteReference"/>
        </w:rPr>
        <w:footnoteReference w:id="2"/>
      </w:r>
      <w:r w:rsidR="006B6693">
        <w:t xml:space="preserve"> </w:t>
      </w:r>
      <w:r w:rsidR="00E01308">
        <w:t xml:space="preserve"> </w:t>
      </w:r>
      <w:r>
        <w:t>W</w:t>
      </w:r>
      <w:r w:rsidR="00E01308">
        <w:t xml:space="preserve">e convert the RIT score points to </w:t>
      </w:r>
      <w:r w:rsidR="00E165E0">
        <w:t xml:space="preserve">weeks of instructional using the estimated linear weekly gain between </w:t>
      </w:r>
      <w:r w:rsidR="003879E2">
        <w:t>weeks 4 and 32</w:t>
      </w:r>
      <w:r w:rsidR="00E165E0">
        <w:t xml:space="preserve"> for the median student.   </w:t>
      </w:r>
      <w:r w:rsidR="003879E2">
        <w:t>This calculation is illustrated by grade in the table below.</w:t>
      </w:r>
    </w:p>
    <w:p w14:paraId="0D87395F" w14:textId="03A1ADF9" w:rsidR="00C23914" w:rsidRPr="00C23914" w:rsidRDefault="00C23914" w:rsidP="00C23914">
      <w:pPr>
        <w:spacing w:after="0"/>
        <w:jc w:val="center"/>
        <w:rPr>
          <w:b/>
          <w:bCs/>
        </w:rPr>
      </w:pPr>
      <w:r>
        <w:rPr>
          <w:b/>
          <w:bCs/>
        </w:rPr>
        <w:t>Table 1: Converting a 0.25-SD loss into instructional weeks, math</w:t>
      </w:r>
    </w:p>
    <w:tbl>
      <w:tblPr>
        <w:tblW w:w="7810" w:type="dxa"/>
        <w:jc w:val="center"/>
        <w:tblLook w:val="04A0" w:firstRow="1" w:lastRow="0" w:firstColumn="1" w:lastColumn="0" w:noHBand="0" w:noVBand="1"/>
      </w:tblPr>
      <w:tblGrid>
        <w:gridCol w:w="762"/>
        <w:gridCol w:w="720"/>
        <w:gridCol w:w="1440"/>
        <w:gridCol w:w="1440"/>
        <w:gridCol w:w="1440"/>
        <w:gridCol w:w="2008"/>
      </w:tblGrid>
      <w:tr w:rsidR="00C23914" w:rsidRPr="00C23914" w14:paraId="3762BE20" w14:textId="77777777" w:rsidTr="008017DE">
        <w:trPr>
          <w:trHeight w:val="288"/>
          <w:jc w:val="center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40DB" w14:textId="77777777" w:rsid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3F7C1974" w14:textId="77777777" w:rsid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5AF1E892" w14:textId="08A510A4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Grade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056E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SD loss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FF04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1 SD in RIT points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FCD1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RIT point loss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B8E4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RIT gain per week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C9F0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Loss in instructional weeks</w:t>
            </w:r>
          </w:p>
        </w:tc>
      </w:tr>
      <w:tr w:rsidR="00C23914" w:rsidRPr="00C23914" w14:paraId="7F0F6A82" w14:textId="77777777" w:rsidTr="008017DE">
        <w:trPr>
          <w:trHeight w:val="288"/>
          <w:jc w:val="center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A578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D040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F10E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14.4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7CB4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DE55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2DA8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9.2</w:t>
            </w:r>
          </w:p>
        </w:tc>
      </w:tr>
      <w:tr w:rsidR="00C23914" w:rsidRPr="00C23914" w14:paraId="02CA31CA" w14:textId="77777777" w:rsidTr="008017DE">
        <w:trPr>
          <w:trHeight w:val="288"/>
          <w:jc w:val="center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ED53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3271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CFC0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15.2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C329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A58E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1220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11.1</w:t>
            </w:r>
          </w:p>
        </w:tc>
      </w:tr>
      <w:tr w:rsidR="00C23914" w:rsidRPr="00C23914" w14:paraId="3BBA6BF5" w14:textId="77777777" w:rsidTr="008017DE">
        <w:trPr>
          <w:trHeight w:val="288"/>
          <w:jc w:val="center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D5E5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7EEB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EE36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16.1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7C96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4.0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60C7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ADC7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13.9</w:t>
            </w:r>
          </w:p>
        </w:tc>
      </w:tr>
      <w:tr w:rsidR="00C23914" w:rsidRPr="00C23914" w14:paraId="54607866" w14:textId="77777777" w:rsidTr="008017DE">
        <w:trPr>
          <w:trHeight w:val="288"/>
          <w:jc w:val="center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6679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334F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2136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17.4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E159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C6CF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C4DF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18.7</w:t>
            </w:r>
          </w:p>
        </w:tc>
      </w:tr>
      <w:tr w:rsidR="00C23914" w:rsidRPr="00C23914" w14:paraId="1FC74FC1" w14:textId="77777777" w:rsidTr="008017DE">
        <w:trPr>
          <w:trHeight w:val="288"/>
          <w:jc w:val="center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D5A5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E6B2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06A5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18.9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A276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4.7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5D63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749B" w14:textId="77777777" w:rsidR="00C23914" w:rsidRPr="00C23914" w:rsidRDefault="00C23914" w:rsidP="00C2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914">
              <w:rPr>
                <w:rFonts w:ascii="Calibri" w:eastAsia="Times New Roman" w:hAnsi="Calibri" w:cs="Calibri"/>
                <w:color w:val="000000"/>
              </w:rPr>
              <w:t>24.6</w:t>
            </w:r>
          </w:p>
        </w:tc>
      </w:tr>
    </w:tbl>
    <w:p w14:paraId="24675D17" w14:textId="1CC359A0" w:rsidR="003879E2" w:rsidRDefault="003879E2"/>
    <w:p w14:paraId="0D521064" w14:textId="7B237390" w:rsidR="00C23914" w:rsidRPr="00C23914" w:rsidRDefault="00C23914" w:rsidP="00C23914">
      <w:pPr>
        <w:jc w:val="center"/>
        <w:rPr>
          <w:b/>
          <w:bCs/>
        </w:rPr>
      </w:pPr>
      <w:r>
        <w:rPr>
          <w:b/>
          <w:bCs/>
        </w:rPr>
        <w:t>Table 2: Converting a 0.</w:t>
      </w:r>
      <w:r w:rsidR="00AF38E9">
        <w:rPr>
          <w:b/>
          <w:bCs/>
        </w:rPr>
        <w:t>13</w:t>
      </w:r>
      <w:r>
        <w:rPr>
          <w:b/>
          <w:bCs/>
        </w:rPr>
        <w:t>-SD loss into instructional weeks, reading</w:t>
      </w:r>
    </w:p>
    <w:tbl>
      <w:tblPr>
        <w:tblW w:w="7804" w:type="dxa"/>
        <w:jc w:val="center"/>
        <w:tblLook w:val="04A0" w:firstRow="1" w:lastRow="0" w:firstColumn="1" w:lastColumn="0" w:noHBand="0" w:noVBand="1"/>
      </w:tblPr>
      <w:tblGrid>
        <w:gridCol w:w="762"/>
        <w:gridCol w:w="720"/>
        <w:gridCol w:w="1440"/>
        <w:gridCol w:w="1440"/>
        <w:gridCol w:w="1440"/>
        <w:gridCol w:w="2002"/>
      </w:tblGrid>
      <w:tr w:rsidR="006D19C1" w:rsidRPr="006D19C1" w14:paraId="55B8FB7B" w14:textId="77777777" w:rsidTr="008017DE">
        <w:trPr>
          <w:trHeight w:val="288"/>
          <w:jc w:val="center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B0E4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Grade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E7A0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SD loss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EC4B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1 SD in RIT points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ED29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RIT point loss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17BD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RIT gain per week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58F7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Loss in instructional weeks</w:t>
            </w:r>
          </w:p>
        </w:tc>
      </w:tr>
      <w:tr w:rsidR="006D19C1" w:rsidRPr="006D19C1" w14:paraId="6F124BA0" w14:textId="77777777" w:rsidTr="008017DE">
        <w:trPr>
          <w:trHeight w:val="288"/>
          <w:jc w:val="center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9259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330E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67F1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16.8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69CF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FB32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9491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</w:tr>
      <w:tr w:rsidR="006D19C1" w:rsidRPr="006D19C1" w14:paraId="28068346" w14:textId="77777777" w:rsidTr="008017DE">
        <w:trPr>
          <w:trHeight w:val="288"/>
          <w:jc w:val="center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27DF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5B79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F30B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16.4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CEC7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83B5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814E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9.2</w:t>
            </w:r>
          </w:p>
        </w:tc>
      </w:tr>
      <w:tr w:rsidR="006D19C1" w:rsidRPr="006D19C1" w14:paraId="51ED5592" w14:textId="77777777" w:rsidTr="008017DE">
        <w:trPr>
          <w:trHeight w:val="288"/>
          <w:jc w:val="center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EAAD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A4F2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B74B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16.5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C137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3651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AB61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</w:tr>
      <w:tr w:rsidR="006D19C1" w:rsidRPr="006D19C1" w14:paraId="5F77329D" w14:textId="77777777" w:rsidTr="008017DE">
        <w:trPr>
          <w:trHeight w:val="288"/>
          <w:jc w:val="center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97C2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BF87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4D8B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16.5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D3D7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D32C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0053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14.4</w:t>
            </w:r>
          </w:p>
        </w:tc>
      </w:tr>
      <w:tr w:rsidR="006D19C1" w:rsidRPr="006D19C1" w14:paraId="3714B89A" w14:textId="77777777" w:rsidTr="008017DE">
        <w:trPr>
          <w:trHeight w:val="288"/>
          <w:jc w:val="center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8F4B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1D6B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5E5F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17.0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4DD0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DC3C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C210" w14:textId="77777777" w:rsidR="006D19C1" w:rsidRPr="006D19C1" w:rsidRDefault="006D19C1" w:rsidP="006D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9C1">
              <w:rPr>
                <w:rFonts w:ascii="Calibri" w:eastAsia="Times New Roman" w:hAnsi="Calibri" w:cs="Calibri"/>
                <w:color w:val="000000"/>
              </w:rPr>
              <w:t>17.0</w:t>
            </w:r>
          </w:p>
        </w:tc>
      </w:tr>
    </w:tbl>
    <w:p w14:paraId="45C0F53C" w14:textId="78E30CFA" w:rsidR="003879E2" w:rsidRDefault="003879E2"/>
    <w:p w14:paraId="3975DAD1" w14:textId="03B18B54" w:rsidR="00E165E0" w:rsidRDefault="00E165E0">
      <w:r>
        <w:t xml:space="preserve">Note that the loss in instructional weeks is largest </w:t>
      </w:r>
      <w:r w:rsidR="00AE7E23">
        <w:t xml:space="preserve">in grades 7 and 8.  That’s </w:t>
      </w:r>
      <w:r w:rsidR="00EF7DDF">
        <w:t xml:space="preserve">largely </w:t>
      </w:r>
      <w:r w:rsidR="00AE7E23">
        <w:t>because the linear RIT point gain per week for the median student is lower for students in higher grades.</w:t>
      </w:r>
    </w:p>
    <w:p w14:paraId="2ABFA5B9" w14:textId="18AE7C4B" w:rsidR="006D19C1" w:rsidRDefault="006D19C1">
      <w:r>
        <w:t xml:space="preserve">Averaging the last column into buckets for grades 4-5 and grades 6-8 gives the numbers in the report: </w:t>
      </w:r>
      <w:r w:rsidR="008017DE">
        <w:t xml:space="preserve">10 weeks for grade 4-5 math, 8 weeks for grade 4-5 reading, 19 weeks for grade 6-8 math, and 14 weeks for grade 6-8 reading. </w:t>
      </w:r>
      <w:r w:rsidR="00051B40">
        <w:t>We also tested how these figures would change if the SD loss was allowed to vary by grade. In th</w:t>
      </w:r>
      <w:r w:rsidR="00E165E0">
        <w:t>at</w:t>
      </w:r>
      <w:r w:rsidR="00051B40">
        <w:t xml:space="preserve"> case, the weekly loss would be 11 weeks for grade 4-5 math, 10 weeks for grade 4-5 reading, 18 weeks for grade 6-8 math, and 11 weeks for grade 6-8 reading.</w:t>
      </w:r>
    </w:p>
    <w:p w14:paraId="0AD279B0" w14:textId="1EA47BAD" w:rsidR="0032765A" w:rsidRPr="00DF0A77" w:rsidRDefault="0032765A">
      <w:pPr>
        <w:rPr>
          <w:b/>
          <w:bCs/>
          <w:i/>
          <w:iCs/>
        </w:rPr>
      </w:pPr>
      <w:r w:rsidRPr="00DF0A77">
        <w:rPr>
          <w:b/>
          <w:bCs/>
          <w:i/>
          <w:iCs/>
        </w:rPr>
        <w:t xml:space="preserve">Calculation of </w:t>
      </w:r>
      <w:r w:rsidR="009C327F" w:rsidRPr="00DF0A77">
        <w:rPr>
          <w:b/>
          <w:bCs/>
          <w:i/>
          <w:iCs/>
        </w:rPr>
        <w:t>expected loss in lifetime earnings</w:t>
      </w:r>
    </w:p>
    <w:p w14:paraId="583BC601" w14:textId="1C8557BC" w:rsidR="00595D41" w:rsidRDefault="00595D41">
      <w:r>
        <w:t xml:space="preserve">To assess the implications </w:t>
      </w:r>
      <w:r w:rsidR="00B1211D">
        <w:t xml:space="preserve">for students’ later </w:t>
      </w:r>
      <w:r w:rsidR="002D52A4">
        <w:t>earnings</w:t>
      </w:r>
      <w:r w:rsidR="00B1211D">
        <w:t xml:space="preserve">, </w:t>
      </w:r>
      <w:r w:rsidR="002D52A4">
        <w:t>we rely o</w:t>
      </w:r>
      <w:r w:rsidR="00B1211D">
        <w:t xml:space="preserve">n prior research studies, which connected adults’ earnings with their achievement test scores in their youth. </w:t>
      </w:r>
      <w:r w:rsidR="002D52A4">
        <w:t xml:space="preserve">  </w:t>
      </w:r>
      <w:r w:rsidR="002D52A4" w:rsidRPr="00AA3092">
        <w:t>Earlier studies by others—such as Murnane, Willett and Levy (1995) and Neal and Johnson (1996)—yielded estimates of 8.0% and</w:t>
      </w:r>
      <w:r w:rsidR="00EF7DDF">
        <w:t xml:space="preserve"> 12.6% for men and women and</w:t>
      </w:r>
      <w:r w:rsidR="002D52A4" w:rsidRPr="00AA3092">
        <w:t xml:space="preserve"> 18.7% </w:t>
      </w:r>
      <w:r w:rsidR="00EF7DDF">
        <w:t xml:space="preserve">and 25.6% for men and women </w:t>
      </w:r>
      <w:r w:rsidR="002D52A4" w:rsidRPr="00AA3092">
        <w:t>respectively.</w:t>
      </w:r>
      <w:r w:rsidR="002D52A4">
        <w:rPr>
          <w:rStyle w:val="FootnoteReference"/>
        </w:rPr>
        <w:footnoteReference w:id="3"/>
      </w:r>
      <w:r w:rsidR="00EF7DDF">
        <w:t xml:space="preserve">  We use a more recent estimate from Heckman et al. (2006), that a standard deviation in cognitive test scores is associated with a 14.3% difference in earnings.</w:t>
      </w:r>
      <w:r w:rsidR="00EF7DDF">
        <w:rPr>
          <w:rStyle w:val="FootnoteReference"/>
        </w:rPr>
        <w:footnoteReference w:id="4"/>
      </w:r>
    </w:p>
    <w:p w14:paraId="27295193" w14:textId="40CBC352" w:rsidR="009C327F" w:rsidRPr="009C327F" w:rsidRDefault="009C327F">
      <w:r>
        <w:t xml:space="preserve">Starting with a 0.25-standard deviation loss in test scores, we calculate the expected loss in lifetime earnings </w:t>
      </w:r>
      <w:r w:rsidR="00AE7E23">
        <w:t>using an estimate of the relationship between earnings and cognitive skills and an estimate of the present value of lifetime earnings of recent cohorts</w:t>
      </w:r>
      <w:r>
        <w:t xml:space="preserve">. </w:t>
      </w:r>
      <w:r w:rsidR="00AE7E23">
        <w:t xml:space="preserve">We converted </w:t>
      </w:r>
      <w:r w:rsidR="00605A31">
        <w:t>to lifetime earnings using an estimate of the present value of lifetime</w:t>
      </w:r>
      <w:r w:rsidR="00C04948">
        <w:t xml:space="preserve"> market</w:t>
      </w:r>
      <w:r w:rsidR="00605A31">
        <w:t xml:space="preserve"> earnings</w:t>
      </w:r>
      <w:r w:rsidR="00C04948">
        <w:t xml:space="preserve"> for an 11-year-old</w:t>
      </w:r>
      <w:r w:rsidR="00605A31">
        <w:t xml:space="preserve"> from </w:t>
      </w:r>
      <w:r w:rsidR="00C04948">
        <w:t>Grosse et al. (20</w:t>
      </w:r>
      <w:r w:rsidR="00AF38E9">
        <w:t>19</w:t>
      </w:r>
      <w:r w:rsidR="00C04948">
        <w:t>), assuming a 3% discount rate and annual productivity growth of 0.5%.</w:t>
      </w:r>
      <w:r w:rsidR="00C04948">
        <w:rPr>
          <w:rStyle w:val="FootnoteReference"/>
        </w:rPr>
        <w:footnoteReference w:id="5"/>
      </w:r>
    </w:p>
    <w:sectPr w:rsidR="009C327F" w:rsidRPr="009C3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D80A" w14:textId="77777777" w:rsidR="00E811B9" w:rsidRDefault="00E811B9" w:rsidP="00C11A48">
      <w:pPr>
        <w:spacing w:after="0" w:line="240" w:lineRule="auto"/>
      </w:pPr>
      <w:r>
        <w:separator/>
      </w:r>
    </w:p>
  </w:endnote>
  <w:endnote w:type="continuationSeparator" w:id="0">
    <w:p w14:paraId="6DC078F1" w14:textId="77777777" w:rsidR="00E811B9" w:rsidRDefault="00E811B9" w:rsidP="00C1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E4BAE" w14:textId="77777777" w:rsidR="00E811B9" w:rsidRDefault="00E811B9" w:rsidP="00C11A48">
      <w:pPr>
        <w:spacing w:after="0" w:line="240" w:lineRule="auto"/>
      </w:pPr>
      <w:r>
        <w:separator/>
      </w:r>
    </w:p>
  </w:footnote>
  <w:footnote w:type="continuationSeparator" w:id="0">
    <w:p w14:paraId="07D9029D" w14:textId="77777777" w:rsidR="00E811B9" w:rsidRDefault="00E811B9" w:rsidP="00C11A48">
      <w:pPr>
        <w:spacing w:after="0" w:line="240" w:lineRule="auto"/>
      </w:pPr>
      <w:r>
        <w:continuationSeparator/>
      </w:r>
    </w:p>
  </w:footnote>
  <w:footnote w:id="1">
    <w:p w14:paraId="7D42F846" w14:textId="77777777" w:rsidR="00A36230" w:rsidRDefault="00A36230" w:rsidP="00A362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11A48">
        <w:t xml:space="preserve">Thum, Yeow Meng, and Megan Kuhfeld. </w:t>
      </w:r>
      <w:r w:rsidRPr="0078511E">
        <w:rPr>
          <w:i/>
          <w:iCs/>
        </w:rPr>
        <w:t>NWEA 2020 MAP Growth achievement status and growth norms for students and schools</w:t>
      </w:r>
      <w:r w:rsidRPr="00C11A48">
        <w:t>. NWEA Research Report. Portland, OR: NWEA, 2020</w:t>
      </w:r>
      <w:r>
        <w:t>, Tables B.1 and B.2.</w:t>
      </w:r>
    </w:p>
  </w:footnote>
  <w:footnote w:id="2">
    <w:p w14:paraId="3EE95768" w14:textId="4993C965" w:rsidR="00494C65" w:rsidRDefault="00494C65">
      <w:pPr>
        <w:pStyle w:val="FootnoteText"/>
      </w:pPr>
      <w:r>
        <w:rPr>
          <w:rStyle w:val="FootnoteReference"/>
        </w:rPr>
        <w:footnoteRef/>
      </w:r>
      <w:r>
        <w:t xml:space="preserve"> Grade-specific </w:t>
      </w:r>
      <w:r w:rsidR="00BC78B3">
        <w:t>standardized mean differences</w:t>
      </w:r>
      <w:r>
        <w:t xml:space="preserve"> can be found in Tables 5a and 5b of </w:t>
      </w:r>
      <w:r w:rsidRPr="00494C65">
        <w:t xml:space="preserve">Kuhfeld, M. &amp; Lewis, K. (2021). </w:t>
      </w:r>
      <w:r w:rsidRPr="00EF7DDF">
        <w:rPr>
          <w:i/>
          <w:iCs/>
        </w:rPr>
        <w:t>Technical appendix for: Learning during COVID-19: An update on student achievement and growth at the start of the 2021-22 school year</w:t>
      </w:r>
      <w:r w:rsidRPr="00494C65">
        <w:t>. NWEA.</w:t>
      </w:r>
    </w:p>
  </w:footnote>
  <w:footnote w:id="3">
    <w:p w14:paraId="796BD788" w14:textId="77777777" w:rsidR="002D52A4" w:rsidRDefault="002D52A4" w:rsidP="002D52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A3092">
        <w:t xml:space="preserve">Murnane, Richard J., John B. Willett, and Frank Levy. "The growing importance of cognitive skills in wage determination." </w:t>
      </w:r>
      <w:r w:rsidRPr="00AA3092">
        <w:rPr>
          <w:i/>
          <w:iCs/>
        </w:rPr>
        <w:t xml:space="preserve">The </w:t>
      </w:r>
      <w:r>
        <w:rPr>
          <w:i/>
          <w:iCs/>
        </w:rPr>
        <w:t>R</w:t>
      </w:r>
      <w:r w:rsidRPr="00AA3092">
        <w:rPr>
          <w:i/>
          <w:iCs/>
        </w:rPr>
        <w:t xml:space="preserve">eview of </w:t>
      </w:r>
      <w:r>
        <w:rPr>
          <w:i/>
          <w:iCs/>
        </w:rPr>
        <w:t>E</w:t>
      </w:r>
      <w:r w:rsidRPr="00AA3092">
        <w:rPr>
          <w:i/>
          <w:iCs/>
        </w:rPr>
        <w:t>conomics and</w:t>
      </w:r>
      <w:r>
        <w:rPr>
          <w:i/>
          <w:iCs/>
        </w:rPr>
        <w:t xml:space="preserve"> S</w:t>
      </w:r>
      <w:r w:rsidRPr="00AA3092">
        <w:rPr>
          <w:i/>
          <w:iCs/>
        </w:rPr>
        <w:t>tatistics</w:t>
      </w:r>
      <w:r w:rsidRPr="00AA3092">
        <w:t xml:space="preserve"> (1995): 251-266</w:t>
      </w:r>
      <w:r>
        <w:t xml:space="preserve">; </w:t>
      </w:r>
      <w:r w:rsidRPr="0069515A">
        <w:t xml:space="preserve">Neal, Derek A., and William R. Johnson. "The role of premarket factors in black-white wage differences." </w:t>
      </w:r>
      <w:r w:rsidRPr="0069515A">
        <w:rPr>
          <w:i/>
          <w:iCs/>
        </w:rPr>
        <w:t xml:space="preserve">Journal of </w:t>
      </w:r>
      <w:r>
        <w:rPr>
          <w:i/>
          <w:iCs/>
        </w:rPr>
        <w:t>P</w:t>
      </w:r>
      <w:r w:rsidRPr="0069515A">
        <w:rPr>
          <w:i/>
          <w:iCs/>
        </w:rPr>
        <w:t>olitical Economy</w:t>
      </w:r>
      <w:r w:rsidRPr="0069515A">
        <w:t xml:space="preserve"> 104, no. 5 (1996): 869-895.</w:t>
      </w:r>
    </w:p>
  </w:footnote>
  <w:footnote w:id="4">
    <w:p w14:paraId="001AF454" w14:textId="77777777" w:rsidR="00EF7DDF" w:rsidRDefault="00EF7DDF" w:rsidP="00EF7D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49A5">
        <w:t xml:space="preserve">Heckman, James J., </w:t>
      </w:r>
      <w:proofErr w:type="spellStart"/>
      <w:r w:rsidRPr="001949A5">
        <w:t>Jora</w:t>
      </w:r>
      <w:proofErr w:type="spellEnd"/>
      <w:r w:rsidRPr="001949A5">
        <w:t xml:space="preserve"> </w:t>
      </w:r>
      <w:proofErr w:type="spellStart"/>
      <w:r w:rsidRPr="001949A5">
        <w:t>Stixrud</w:t>
      </w:r>
      <w:proofErr w:type="spellEnd"/>
      <w:r w:rsidRPr="001949A5">
        <w:t xml:space="preserve">, and Sergio </w:t>
      </w:r>
      <w:proofErr w:type="spellStart"/>
      <w:r w:rsidRPr="001949A5">
        <w:t>Urzua</w:t>
      </w:r>
      <w:proofErr w:type="spellEnd"/>
      <w:r w:rsidRPr="001949A5">
        <w:t xml:space="preserve">. "The effects of cognitive and noncognitive abilities on labor market outcomes and social behavior." </w:t>
      </w:r>
      <w:r w:rsidRPr="0078511E">
        <w:rPr>
          <w:i/>
          <w:iCs/>
        </w:rPr>
        <w:t xml:space="preserve">Journal of Labor </w:t>
      </w:r>
      <w:r>
        <w:rPr>
          <w:i/>
          <w:iCs/>
        </w:rPr>
        <w:t>E</w:t>
      </w:r>
      <w:r w:rsidRPr="0078511E">
        <w:rPr>
          <w:i/>
          <w:iCs/>
        </w:rPr>
        <w:t>conomics</w:t>
      </w:r>
      <w:r w:rsidRPr="001949A5">
        <w:t xml:space="preserve"> 24, no. 3 (2006): 411-482</w:t>
      </w:r>
      <w:r>
        <w:t>, Table 5.</w:t>
      </w:r>
    </w:p>
  </w:footnote>
  <w:footnote w:id="5">
    <w:p w14:paraId="55A4C300" w14:textId="07DF2B0A" w:rsidR="00C04948" w:rsidRDefault="00C049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8511E" w:rsidRPr="0078511E">
        <w:t xml:space="preserve">Grosse, Scott D., Kurt V. Krueger, and Jamison Pike. "Estimated annual and lifetime labor productivity in the United States, 2016: implications for economic evaluations." </w:t>
      </w:r>
      <w:r w:rsidR="0078511E" w:rsidRPr="0078511E">
        <w:rPr>
          <w:i/>
          <w:iCs/>
        </w:rPr>
        <w:t xml:space="preserve">Journal of </w:t>
      </w:r>
      <w:r w:rsidR="0078511E">
        <w:rPr>
          <w:i/>
          <w:iCs/>
        </w:rPr>
        <w:t>M</w:t>
      </w:r>
      <w:r w:rsidR="0078511E" w:rsidRPr="0078511E">
        <w:rPr>
          <w:i/>
          <w:iCs/>
        </w:rPr>
        <w:t xml:space="preserve">edical </w:t>
      </w:r>
      <w:r w:rsidR="0078511E">
        <w:rPr>
          <w:i/>
          <w:iCs/>
        </w:rPr>
        <w:t>E</w:t>
      </w:r>
      <w:r w:rsidR="0078511E" w:rsidRPr="0078511E">
        <w:rPr>
          <w:i/>
          <w:iCs/>
        </w:rPr>
        <w:t>conomics</w:t>
      </w:r>
      <w:r w:rsidR="0078511E" w:rsidRPr="0078511E">
        <w:t xml:space="preserve"> 22, no. 6 (2019): 501-508.</w:t>
      </w:r>
      <w: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93"/>
    <w:rsid w:val="000039CF"/>
    <w:rsid w:val="00011CE5"/>
    <w:rsid w:val="0004016B"/>
    <w:rsid w:val="00051B40"/>
    <w:rsid w:val="001949A5"/>
    <w:rsid w:val="002D52A4"/>
    <w:rsid w:val="0032647D"/>
    <w:rsid w:val="0032765A"/>
    <w:rsid w:val="003879E2"/>
    <w:rsid w:val="00494C65"/>
    <w:rsid w:val="0053693C"/>
    <w:rsid w:val="00595D41"/>
    <w:rsid w:val="00605A31"/>
    <w:rsid w:val="0069515A"/>
    <w:rsid w:val="006B6693"/>
    <w:rsid w:val="006D19C1"/>
    <w:rsid w:val="0078511E"/>
    <w:rsid w:val="008017DE"/>
    <w:rsid w:val="008232A3"/>
    <w:rsid w:val="008D62AD"/>
    <w:rsid w:val="009C327F"/>
    <w:rsid w:val="009D2ECA"/>
    <w:rsid w:val="00A36230"/>
    <w:rsid w:val="00A3716F"/>
    <w:rsid w:val="00A82F1D"/>
    <w:rsid w:val="00AA3092"/>
    <w:rsid w:val="00AD2796"/>
    <w:rsid w:val="00AE7E23"/>
    <w:rsid w:val="00AF38E9"/>
    <w:rsid w:val="00B1211D"/>
    <w:rsid w:val="00B7533C"/>
    <w:rsid w:val="00BC78B3"/>
    <w:rsid w:val="00C04948"/>
    <w:rsid w:val="00C11A48"/>
    <w:rsid w:val="00C23914"/>
    <w:rsid w:val="00C42E46"/>
    <w:rsid w:val="00C46A94"/>
    <w:rsid w:val="00CD2529"/>
    <w:rsid w:val="00CE3E7A"/>
    <w:rsid w:val="00D31DE0"/>
    <w:rsid w:val="00DE60EF"/>
    <w:rsid w:val="00DF0A77"/>
    <w:rsid w:val="00DF59DB"/>
    <w:rsid w:val="00E01308"/>
    <w:rsid w:val="00E165E0"/>
    <w:rsid w:val="00E422FF"/>
    <w:rsid w:val="00E72616"/>
    <w:rsid w:val="00E811B9"/>
    <w:rsid w:val="00E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F7DF0"/>
  <w15:chartTrackingRefBased/>
  <w15:docId w15:val="{603C43E0-5872-4E1F-BF1C-3625208B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11A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A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1A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26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4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4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4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6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49642-AD6A-4F88-AF8C-AD3295A9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Patterson</dc:creator>
  <cp:keywords/>
  <dc:description/>
  <cp:lastModifiedBy>de Barros, Jessica</cp:lastModifiedBy>
  <cp:revision>4</cp:revision>
  <dcterms:created xsi:type="dcterms:W3CDTF">2021-12-14T17:52:00Z</dcterms:created>
  <dcterms:modified xsi:type="dcterms:W3CDTF">2021-12-14T18:18:00Z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